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71" w:rsidRPr="00A54C71" w:rsidRDefault="00A54C71" w:rsidP="00A54C71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36"/>
        </w:rPr>
      </w:pPr>
      <w:r w:rsidRPr="00A54C71">
        <w:rPr>
          <w:rFonts w:ascii="Arial" w:hAnsi="Arial" w:cs="Arial"/>
          <w:b/>
          <w:bCs/>
          <w:color w:val="222222"/>
          <w:sz w:val="24"/>
          <w:szCs w:val="36"/>
        </w:rPr>
        <w:t>Índice Nacional UTN/CEDOL</w:t>
      </w:r>
    </w:p>
    <w:p w:rsidR="00A54C71" w:rsidRPr="00A54C71" w:rsidRDefault="00A54C71" w:rsidP="00A54C71">
      <w:pPr>
        <w:shd w:val="clear" w:color="auto" w:fill="FFFFFF"/>
        <w:jc w:val="center"/>
        <w:rPr>
          <w:rFonts w:ascii="Arial" w:hAnsi="Arial" w:cs="Arial"/>
          <w:color w:val="222222"/>
          <w:sz w:val="36"/>
          <w:szCs w:val="48"/>
        </w:rPr>
      </w:pPr>
      <w:r w:rsidRPr="00A54C71">
        <w:rPr>
          <w:rFonts w:ascii="Arial" w:hAnsi="Arial" w:cs="Arial"/>
          <w:b/>
          <w:bCs/>
          <w:color w:val="222222"/>
          <w:sz w:val="36"/>
          <w:szCs w:val="48"/>
        </w:rPr>
        <w:t>Costos Logísticos: el 1</w:t>
      </w:r>
      <w:r w:rsidRPr="00A54C71">
        <w:rPr>
          <w:rFonts w:ascii="Arial" w:hAnsi="Arial" w:cs="Arial"/>
          <w:b/>
          <w:bCs/>
          <w:color w:val="222222"/>
          <w:sz w:val="36"/>
          <w:szCs w:val="48"/>
          <w:vertAlign w:val="superscript"/>
        </w:rPr>
        <w:t>er</w:t>
      </w:r>
      <w:r w:rsidRPr="00A54C71">
        <w:rPr>
          <w:rFonts w:ascii="Arial" w:hAnsi="Arial" w:cs="Arial"/>
          <w:b/>
          <w:bCs/>
          <w:color w:val="222222"/>
          <w:sz w:val="36"/>
          <w:szCs w:val="48"/>
        </w:rPr>
        <w:t> trimestre cerró con fuertes incrementos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Buenos Aires, 08 de abril de 2019.-</w:t>
      </w:r>
      <w:r>
        <w:rPr>
          <w:rFonts w:ascii="Arial" w:hAnsi="Arial" w:cs="Arial"/>
          <w:color w:val="222222"/>
          <w:sz w:val="24"/>
          <w:szCs w:val="24"/>
        </w:rPr>
        <w:t> La </w:t>
      </w:r>
      <w:r>
        <w:rPr>
          <w:rFonts w:ascii="Arial" w:hAnsi="Arial" w:cs="Arial"/>
          <w:b/>
          <w:bCs/>
          <w:color w:val="222222"/>
          <w:sz w:val="24"/>
          <w:szCs w:val="24"/>
        </w:rPr>
        <w:t>Universidad Tecnológica Nacional (UTN)</w:t>
      </w:r>
      <w:r>
        <w:rPr>
          <w:rFonts w:ascii="Arial" w:hAnsi="Arial" w:cs="Arial"/>
          <w:color w:val="222222"/>
          <w:sz w:val="24"/>
          <w:szCs w:val="24"/>
        </w:rPr>
        <w:t>, a través de su Centro Tecnológico de Transporte, Tránsito y Seguridad Vial (C3T), dio a conocer la evolución del Índice de Costos Logísticos Nacionales, elaborado para la </w:t>
      </w:r>
      <w:r>
        <w:rPr>
          <w:rFonts w:ascii="Arial" w:hAnsi="Arial" w:cs="Arial"/>
          <w:b/>
          <w:bCs/>
          <w:color w:val="222222"/>
          <w:sz w:val="24"/>
          <w:szCs w:val="24"/>
        </w:rPr>
        <w:t>Cámara Empresaria de Operadores Logísticos (CEDOL)</w:t>
      </w:r>
      <w:r>
        <w:rPr>
          <w:rFonts w:ascii="Arial" w:hAnsi="Arial" w:cs="Arial"/>
          <w:color w:val="222222"/>
          <w:sz w:val="24"/>
          <w:szCs w:val="24"/>
        </w:rPr>
        <w:t>, correspondiente a </w:t>
      </w:r>
      <w:proofErr w:type="gramStart"/>
      <w:r>
        <w:rPr>
          <w:rFonts w:ascii="Arial" w:hAnsi="Arial" w:cs="Arial"/>
          <w:b/>
          <w:bCs/>
          <w:color w:val="222222"/>
          <w:sz w:val="24"/>
          <w:szCs w:val="24"/>
        </w:rPr>
        <w:t>Marzo</w:t>
      </w:r>
      <w:proofErr w:type="gram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de 2019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este mes, volvió a darse un </w:t>
      </w:r>
      <w:r>
        <w:rPr>
          <w:rFonts w:ascii="Arial" w:hAnsi="Arial" w:cs="Arial"/>
          <w:i/>
          <w:iCs/>
          <w:sz w:val="24"/>
          <w:szCs w:val="24"/>
        </w:rPr>
        <w:t>“cóctel explosivo”</w:t>
      </w:r>
      <w:r>
        <w:rPr>
          <w:rFonts w:ascii="Arial" w:hAnsi="Arial" w:cs="Arial"/>
          <w:sz w:val="24"/>
          <w:szCs w:val="24"/>
        </w:rPr>
        <w:t xml:space="preserve"> de incrementos en los costos medibles que afectan a todos los niveles de servicio. Así lo demuestran las variaciones correspondientes a marzo: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Cedol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Con Costos de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  Transporte</w:t>
      </w:r>
      <w:proofErr w:type="gramEnd"/>
      <w:r>
        <w:rPr>
          <w:rFonts w:ascii="Arial" w:hAnsi="Arial" w:cs="Arial"/>
          <w:b/>
          <w:bCs/>
          <w:sz w:val="24"/>
          <w:szCs w:val="24"/>
        </w:rPr>
        <w:t>:      8,17%.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Cedol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Sin Costos de Transporte:        6,12%.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Distribución Con acompañante:          7,26%.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Distribución Sin acompañante:           7,79%.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Índice de FADEEAC:                             8,63%.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historial de estas mediciones, resulta </w:t>
      </w:r>
      <w:r>
        <w:rPr>
          <w:rFonts w:ascii="Arial" w:hAnsi="Arial" w:cs="Arial"/>
          <w:b/>
          <w:bCs/>
          <w:sz w:val="24"/>
          <w:szCs w:val="24"/>
        </w:rPr>
        <w:t>difícil encontrar una combinación de variaciones tan elevadas y en tantos componentes</w:t>
      </w:r>
      <w:r>
        <w:rPr>
          <w:rFonts w:ascii="Arial" w:hAnsi="Arial" w:cs="Arial"/>
          <w:sz w:val="24"/>
          <w:szCs w:val="24"/>
        </w:rPr>
        <w:t xml:space="preserve">. En esta ocasión, </w:t>
      </w:r>
      <w:r>
        <w:rPr>
          <w:rFonts w:ascii="Arial" w:hAnsi="Arial" w:cs="Arial"/>
          <w:b/>
          <w:bCs/>
          <w:sz w:val="24"/>
          <w:szCs w:val="24"/>
        </w:rPr>
        <w:t>el mayor impacto se produjo por la suba de tarifas en combustibles</w:t>
      </w:r>
      <w:r>
        <w:rPr>
          <w:rFonts w:ascii="Arial" w:hAnsi="Arial" w:cs="Arial"/>
          <w:sz w:val="24"/>
          <w:szCs w:val="24"/>
        </w:rPr>
        <w:t xml:space="preserve"> (al igual que en 2018, entre las mayores escaladas registradas), la incidencia de </w:t>
      </w:r>
      <w:r>
        <w:rPr>
          <w:rFonts w:ascii="Arial" w:hAnsi="Arial" w:cs="Arial"/>
          <w:b/>
          <w:bCs/>
          <w:sz w:val="24"/>
          <w:szCs w:val="24"/>
        </w:rPr>
        <w:t>la última cuota de la Paritaria del año pasado</w:t>
      </w:r>
      <w:r>
        <w:rPr>
          <w:rFonts w:ascii="Arial" w:hAnsi="Arial" w:cs="Arial"/>
          <w:sz w:val="24"/>
          <w:szCs w:val="24"/>
        </w:rPr>
        <w:t xml:space="preserve"> y, adicionalmente, el crecimiento de otros drivers cuyos precios están ligados al</w:t>
      </w:r>
      <w:r>
        <w:rPr>
          <w:rFonts w:ascii="Arial" w:hAnsi="Arial" w:cs="Arial"/>
          <w:b/>
          <w:bCs/>
          <w:sz w:val="24"/>
          <w:szCs w:val="24"/>
        </w:rPr>
        <w:t xml:space="preserve"> tipo de cambio</w:t>
      </w:r>
      <w:r>
        <w:rPr>
          <w:rFonts w:ascii="Arial" w:hAnsi="Arial" w:cs="Arial"/>
          <w:sz w:val="24"/>
          <w:szCs w:val="24"/>
        </w:rPr>
        <w:t>, como el alquiler de equipamiento o el film 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stretch</w:t>
      </w:r>
      <w:proofErr w:type="spellEnd"/>
      <w:r>
        <w:rPr>
          <w:rFonts w:ascii="Arial" w:hAnsi="Arial" w:cs="Arial"/>
          <w:sz w:val="24"/>
          <w:szCs w:val="24"/>
        </w:rPr>
        <w:t>, entre otros.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manera, para el </w:t>
      </w:r>
      <w:r>
        <w:rPr>
          <w:rFonts w:ascii="Arial" w:hAnsi="Arial" w:cs="Arial"/>
          <w:b/>
          <w:bCs/>
          <w:sz w:val="24"/>
          <w:szCs w:val="24"/>
        </w:rPr>
        <w:t>primer trimestre de 2019</w:t>
      </w:r>
      <w:r>
        <w:rPr>
          <w:rFonts w:ascii="Arial" w:hAnsi="Arial" w:cs="Arial"/>
          <w:sz w:val="24"/>
          <w:szCs w:val="24"/>
        </w:rPr>
        <w:t> (enero, febrero y marzo), los indicadores ya alcanzan los siguientes incrementos:  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Cedol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Con Costos de Transporte:       11,10%.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Cedol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Sin Costos de Transporte:     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   8,09%.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Distribución Con acompañante:           9,71%.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Distribución Sin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acompañante:           11,80%.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Índice de </w:t>
      </w:r>
      <w:r>
        <w:rPr>
          <w:rFonts w:ascii="Arial" w:hAnsi="Arial" w:cs="Arial"/>
          <w:b/>
          <w:bCs/>
          <w:sz w:val="24"/>
          <w:szCs w:val="24"/>
        </w:rPr>
        <w:t>FADEEAC: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4546A"/>
          <w:sz w:val="24"/>
          <w:szCs w:val="24"/>
        </w:rPr>
        <w:t xml:space="preserve">                            </w:t>
      </w:r>
      <w:r>
        <w:rPr>
          <w:rFonts w:ascii="Arial" w:hAnsi="Arial" w:cs="Arial"/>
          <w:b/>
          <w:bCs/>
          <w:color w:val="222222"/>
          <w:sz w:val="24"/>
          <w:szCs w:val="24"/>
        </w:rPr>
        <w:t>11,76%.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</w:t>
      </w:r>
    </w:p>
    <w:p w:rsidR="00A54C71" w:rsidRDefault="00A54C71" w:rsidP="00A54C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Se observa un </w:t>
      </w:r>
      <w:r>
        <w:rPr>
          <w:rFonts w:ascii="Arial" w:hAnsi="Arial" w:cs="Arial"/>
          <w:b/>
          <w:bCs/>
          <w:color w:val="222222"/>
          <w:sz w:val="24"/>
          <w:szCs w:val="24"/>
        </w:rPr>
        <w:t>comienzo de año con altos niveles de aumento en los costos</w:t>
      </w:r>
      <w:r>
        <w:rPr>
          <w:rFonts w:ascii="Arial" w:hAnsi="Arial" w:cs="Arial"/>
          <w:color w:val="222222"/>
          <w:sz w:val="24"/>
          <w:szCs w:val="24"/>
        </w:rPr>
        <w:t>, con una marcada influencia de la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suba de combustibles </w:t>
      </w:r>
      <w:r>
        <w:rPr>
          <w:rFonts w:ascii="Arial" w:hAnsi="Arial" w:cs="Arial"/>
          <w:color w:val="222222"/>
          <w:sz w:val="24"/>
          <w:szCs w:val="24"/>
        </w:rPr>
        <w:t>que distorsiona las matrices de medición y genera significativas diferencias entre los indicadores.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a la permanente suba de costos de las operaciones hay que agregar:</w:t>
      </w:r>
    </w:p>
    <w:p w:rsidR="00A54C71" w:rsidRDefault="00A54C71" w:rsidP="00A54C71">
      <w:pPr>
        <w:shd w:val="clear" w:color="auto" w:fill="FFFFFF"/>
        <w:rPr>
          <w:color w:val="44546A"/>
        </w:rPr>
      </w:pP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 </w:t>
      </w:r>
      <w:r>
        <w:rPr>
          <w:rFonts w:ascii="Arial" w:hAnsi="Arial" w:cs="Arial"/>
          <w:b/>
          <w:bCs/>
          <w:sz w:val="24"/>
          <w:szCs w:val="24"/>
        </w:rPr>
        <w:t>baja en el consumo interno</w:t>
      </w:r>
      <w:r>
        <w:rPr>
          <w:rFonts w:ascii="Arial" w:hAnsi="Arial" w:cs="Arial"/>
          <w:sz w:val="24"/>
          <w:szCs w:val="24"/>
        </w:rPr>
        <w:t> que, a su vez, provoca una notable caída del uso de los recursos y aumenta el costo por ociosidad.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Las </w:t>
      </w:r>
      <w:r>
        <w:rPr>
          <w:rFonts w:ascii="Arial" w:hAnsi="Arial" w:cs="Arial"/>
          <w:b/>
          <w:bCs/>
          <w:sz w:val="24"/>
          <w:szCs w:val="24"/>
        </w:rPr>
        <w:t>desmesuradas tasas de interés</w:t>
      </w:r>
      <w:r>
        <w:rPr>
          <w:rFonts w:ascii="Arial" w:hAnsi="Arial" w:cs="Arial"/>
          <w:sz w:val="24"/>
          <w:szCs w:val="24"/>
        </w:rPr>
        <w:t> para financiar el capital de trabajo y las inversiones necesarias.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Los </w:t>
      </w:r>
      <w:r>
        <w:rPr>
          <w:rFonts w:ascii="Arial" w:hAnsi="Arial" w:cs="Arial"/>
          <w:b/>
          <w:bCs/>
          <w:sz w:val="24"/>
          <w:szCs w:val="24"/>
        </w:rPr>
        <w:t>altos costos impositivos</w:t>
      </w:r>
      <w:r>
        <w:rPr>
          <w:rFonts w:ascii="Arial" w:hAnsi="Arial" w:cs="Arial"/>
          <w:sz w:val="24"/>
          <w:szCs w:val="24"/>
        </w:rPr>
        <w:t>, nacionales, provinciales y municipales.</w:t>
      </w:r>
    </w:p>
    <w:p w:rsidR="00A54C71" w:rsidRDefault="00A54C71" w:rsidP="00A54C71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objetivo de estos indicadores es reflejar mensualmente las variaciones de todos los costos logísticos, a excepción de las improductividades que suelen generarse por causas externas a los operadores logísticos. </w:t>
      </w:r>
      <w:r>
        <w:rPr>
          <w:rFonts w:ascii="Arial" w:hAnsi="Arial" w:cs="Arial"/>
          <w:color w:val="222222"/>
          <w:sz w:val="24"/>
          <w:szCs w:val="24"/>
        </w:rPr>
        <w:t>Su publicación, con los componentes completos, también se puede consultar en la web de la Cámara: </w:t>
      </w:r>
      <w:hyperlink r:id="rId4" w:tgtFrame="_blank" w:history="1">
        <w:r>
          <w:rPr>
            <w:rStyle w:val="Hipervnculo"/>
            <w:rFonts w:ascii="Arial" w:hAnsi="Arial" w:cs="Arial"/>
            <w:sz w:val="24"/>
            <w:szCs w:val="24"/>
          </w:rPr>
          <w:t>www.cedol.org.ar</w:t>
        </w:r>
      </w:hyperlink>
    </w:p>
    <w:p w:rsidR="00A54C71" w:rsidRDefault="00A54C71" w:rsidP="00A54C71">
      <w:pPr>
        <w:rPr>
          <w:rFonts w:ascii="Arial" w:hAnsi="Arial" w:cs="Arial"/>
        </w:rPr>
      </w:pPr>
      <w:bookmarkStart w:id="0" w:name="_GoBack"/>
      <w:bookmarkEnd w:id="0"/>
    </w:p>
    <w:p w:rsidR="00A54C71" w:rsidRDefault="00A54C71" w:rsidP="00A54C7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Sobre CEDOL y sus Índices de Costos</w:t>
      </w:r>
    </w:p>
    <w:p w:rsidR="00A54C71" w:rsidRDefault="00A54C71" w:rsidP="00A54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La Cámara Empresaria de Operadores Logísticos se fundó en noviembre de 1998 para asumir la representación de las empresas que tienen como principal actividad la prestación de servicios logísticos: traslados, almacenamiento, ensamble y procesos industriales, fraccionamiento de mercaderías para su transporte y distribución, ejerciendo el control, la administración de la información y la responsabilidad en las etapas de la cadena de abastecimiento. Al auspiciar las Buenas Prácticas, la entidad impulsa procesos y tecnologías que permiten brindar a sus asociados un buen nivel de calidad de servicio a un costo adecuado. CEDOL es una entidad miembro de la Federación Argentina de Entidades Empresariales del Autotransporte de Cargas (FADEEAC). </w:t>
      </w:r>
    </w:p>
    <w:p w:rsidR="00A54C71" w:rsidRDefault="00A54C71" w:rsidP="00A54C71">
      <w:pPr>
        <w:rPr>
          <w:rFonts w:ascii="Arial" w:hAnsi="Arial" w:cs="Arial"/>
        </w:rPr>
      </w:pPr>
    </w:p>
    <w:p w:rsidR="00A54C71" w:rsidRDefault="00A54C71" w:rsidP="00A54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Cámara Empresaria de Operadores Logísticos</w:t>
      </w:r>
    </w:p>
    <w:p w:rsidR="00A54C71" w:rsidRDefault="00A54C71" w:rsidP="00A54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Sánchez de Bustamante 54. Buenos Aires.</w:t>
      </w:r>
    </w:p>
    <w:p w:rsidR="00A54C71" w:rsidRDefault="00A54C71" w:rsidP="00A54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(011) 4860-7775/6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www.cedol.org.ar</w:t>
        </w:r>
      </w:hyperlink>
    </w:p>
    <w:p w:rsidR="00A54C71" w:rsidRDefault="00A54C71" w:rsidP="00A54C71">
      <w:pPr>
        <w:rPr>
          <w:rFonts w:ascii="Arial" w:hAnsi="Arial" w:cs="Arial"/>
        </w:rPr>
      </w:pPr>
    </w:p>
    <w:p w:rsidR="00A54C71" w:rsidRDefault="00A54C71" w:rsidP="00A54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Comunicación &amp; Prensa</w:t>
      </w:r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>
          <w:rPr>
            <w:rStyle w:val="Hipervnculo"/>
            <w:rFonts w:ascii="Arial" w:hAnsi="Arial" w:cs="Arial"/>
            <w:sz w:val="20"/>
            <w:szCs w:val="20"/>
          </w:rPr>
          <w:t>comunicacion@cedol.org.ar</w:t>
        </w:r>
      </w:hyperlink>
    </w:p>
    <w:p w:rsidR="00F526CD" w:rsidRDefault="00F526CD"/>
    <w:sectPr w:rsidR="00F526CD" w:rsidSect="00A54C71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1F"/>
    <w:rsid w:val="0039321F"/>
    <w:rsid w:val="00A54C71"/>
    <w:rsid w:val="00F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9A25-E2EA-4F4E-A395-1BC55D3B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71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54C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cion@cedol.org.ar" TargetMode="External"/><Relationship Id="rId5" Type="http://schemas.openxmlformats.org/officeDocument/2006/relationships/hyperlink" Target="http://www.cedol.org.ar" TargetMode="External"/><Relationship Id="rId4" Type="http://schemas.openxmlformats.org/officeDocument/2006/relationships/hyperlink" Target="http://www.cedol.org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Aguirre</dc:creator>
  <cp:keywords/>
  <dc:description/>
  <cp:lastModifiedBy>Fernando Aguirre</cp:lastModifiedBy>
  <cp:revision>2</cp:revision>
  <dcterms:created xsi:type="dcterms:W3CDTF">2019-04-09T03:46:00Z</dcterms:created>
  <dcterms:modified xsi:type="dcterms:W3CDTF">2019-04-09T03:50:00Z</dcterms:modified>
</cp:coreProperties>
</file>